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20" w:firstLine="720"/>
        <w:jc w:val="right"/>
        <w:spacing w:before="0" w:after="0" w:line="240" w:lineRule="auto"/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t xml:space="preserve">УТВЕРЖДЕН</w:t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br/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t xml:space="preserve"> комитета по делам</w:t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br/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t xml:space="preserve">архивов Нижегородской области</w:t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br/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t xml:space="preserve">от 19.11.2021 N 101</w:t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jc w:val="center"/>
        <w:spacing w:before="108" w:after="108" w:line="240" w:lineRule="auto"/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t xml:space="preserve">Перечень </w:t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br/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t xml:space="preserve">должностей государственной гражданской службы Ниж</w:t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  <w:t xml:space="preserve">егородской области в комитете по делам архивов Нижегородской области, при замещении которых государственные гражданские служащие Нижегородской области обязаны представлять сведения о доходах, расходах, об имуществе и обязательствах имущественного характера</w:t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/>
          <w:bCs/>
          <w:color w:val="26282f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/>
          <w:bCs/>
          <w:color w:val="353842"/>
          <w:sz w:val="20"/>
          <w:szCs w:val="20"/>
          <w:lang w:val="ru-RU" w:bidi="ru-RU"/>
        </w:rPr>
      </w:pPr>
      <w:r>
        <w:rPr>
          <w:rFonts w:ascii="Times New Roman CYR" w:hAnsi="Times New Roman CYR" w:eastAsia="Times New Roman CYR" w:cs="Times New Roman CYR"/>
          <w:b/>
          <w:bCs/>
          <w:color w:val="353842"/>
          <w:sz w:val="20"/>
          <w:szCs w:val="20"/>
          <w:lang w:val="ru-RU" w:bidi="ru-RU"/>
        </w:rPr>
        <w:t xml:space="preserve">С изменениями и дополнениями от:</w:t>
      </w:r>
      <w:r>
        <w:rPr>
          <w:rFonts w:ascii="Times New Roman CYR" w:hAnsi="Times New Roman CYR" w:eastAsia="Times New Roman CYR" w:cs="Times New Roman CYR"/>
          <w:b/>
          <w:bCs/>
          <w:color w:val="353842"/>
          <w:sz w:val="20"/>
          <w:szCs w:val="20"/>
          <w:lang w:val="ru-RU" w:bidi="ru-RU"/>
        </w:rPr>
      </w:r>
      <w:r>
        <w:rPr>
          <w:rFonts w:ascii="Times New Roman CYR" w:hAnsi="Times New Roman CYR" w:eastAsia="Times New Roman CYR" w:cs="Times New Roman CYR"/>
          <w:b/>
          <w:bCs/>
          <w:color w:val="353842"/>
          <w:sz w:val="20"/>
          <w:szCs w:val="20"/>
          <w:lang w:val="ru-RU" w:bidi="ru-RU"/>
        </w:rPr>
      </w:r>
    </w:p>
    <w:p>
      <w:pPr>
        <w:ind w:left="0" w:right="360" w:firstLine="360"/>
        <w:jc w:val="left"/>
        <w:spacing w:before="18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353842"/>
          <w:sz w:val="20"/>
          <w:szCs w:val="20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353842"/>
          <w:sz w:val="20"/>
          <w:szCs w:val="20"/>
          <w:lang w:val="ru-RU" w:bidi="ru-RU"/>
        </w:rPr>
        <w:t xml:space="preserve"> 26 декабря 2022 г., 1 августа 2023 г., 18 декабря 2024 г., 17 июня 2025 г.</w:t>
      </w:r>
      <w:r>
        <w:rPr>
          <w:rFonts w:ascii="Times New Roman CYR" w:hAnsi="Times New Roman CYR" w:eastAsia="Times New Roman CYR" w:cs="Times New Roman CYR"/>
          <w:b w:val="0"/>
          <w:bCs w:val="0"/>
          <w:color w:val="353842"/>
          <w:sz w:val="20"/>
          <w:szCs w:val="20"/>
          <w:lang w:val="ru-RU" w:bidi="ru-RU"/>
        </w:rPr>
        <w:t xml:space="preserve">, 17 марта 2026 г.</w:t>
      </w:r>
      <w:r>
        <w:rPr>
          <w:rFonts w:ascii="Times New Roman CYR" w:hAnsi="Times New Roman CYR" w:eastAsia="Times New Roman CYR" w:cs="Times New Roman CYR"/>
          <w:b w:val="0"/>
          <w:bCs w:val="0"/>
          <w:color w:val="353842"/>
          <w:sz w:val="20"/>
          <w:szCs w:val="20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  <w:t xml:space="preserve">1. В отделе развития архивного дела, аналитической и информационной деятельности:</w:t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  <w:t xml:space="preserve">- начальник отдела.</w:t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  <w:t xml:space="preserve">2. В отделе контрольно-надзорной деятельности, бюджетного планирования и финансового анализа:</w:t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  <w:t xml:space="preserve">- начальник отдела,</w:t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  <w:t xml:space="preserve">- ведущий консультант, в чьи обязанности входит участие в контрольно-надзорной деятельности.</w:t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  <w:t xml:space="preserve">3. В отделе мониторинга архивного дела и предоставления государственных услуг:</w:t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  <w:t xml:space="preserve">- начальник отдела,</w:t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  <w:t xml:space="preserve">- заместитель начальника отдела,</w:t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  <w:t xml:space="preserve">- ведущий консультант, в чьи обязанности входит участие в предоставлении государственных услуг и работа с обращениями граждан,</w:t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  <w:t xml:space="preserve">- консультант, в чьи обязанности входит участие в предоставлении государственных услуг и работа с обращениями граждан.</w:t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p>
      <w:pPr>
        <w:ind w:left="-720" w:firstLine="720"/>
        <w:jc w:val="left"/>
        <w:spacing w:before="0" w:after="0" w:line="240" w:lineRule="auto"/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b w:val="0"/>
          <w:bCs w:val="0"/>
          <w:color w:val="auto"/>
          <w:sz w:val="24"/>
          <w:szCs w:val="24"/>
          <w:lang w:val="ru-RU" w:bidi="ru-RU"/>
        </w:rPr>
      </w:r>
    </w:p>
    <w:sectPr>
      <w:footnotePr/>
      <w:endnotePr/>
      <w:type w:val="nextPage"/>
      <w:pgSz w:w="12240" w:h="15840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  <w:rPr>
          <w:rFonts w:ascii="Times New Roman CYR" w:hAnsi="Times New Roman CYR" w:eastAsia="Times New Roman CYR" w:cs="Times New Roman CYR"/>
          <w:lang w:val="ru-RU" w:bidi="ru-RU"/>
        </w:rPr>
      </w:pPr>
      <w:r>
        <w:rPr>
          <w:rFonts w:ascii="Times New Roman CYR" w:hAnsi="Times New Roman CYR" w:eastAsia="Times New Roman CYR" w:cs="Times New Roman CYR"/>
          <w:lang w:val="ru-RU" w:bidi="ru-RU"/>
        </w:rPr>
        <w:separator/>
      </w:r>
      <w:r>
        <w:rPr>
          <w:rFonts w:ascii="Times New Roman CYR" w:hAnsi="Times New Roman CYR" w:eastAsia="Times New Roman CYR" w:cs="Times New Roman CYR"/>
          <w:lang w:val="ru-RU" w:bidi="ru-RU"/>
        </w:rPr>
      </w:r>
      <w:r>
        <w:rPr>
          <w:rFonts w:ascii="Times New Roman CYR" w:hAnsi="Times New Roman CYR" w:eastAsia="Times New Roman CYR" w:cs="Times New Roman CYR"/>
          <w:lang w:val="ru-RU" w:bidi="ru-RU"/>
        </w:rPr>
      </w:r>
    </w:p>
  </w:endnote>
  <w:endnote w:type="continuationSeparator" w:id="0">
    <w:p>
      <w:pPr>
        <w:jc w:val="left"/>
        <w:rPr>
          <w:rFonts w:ascii="Times New Roman CYR" w:hAnsi="Times New Roman CYR" w:eastAsia="Times New Roman CYR" w:cs="Times New Roman CYR"/>
          <w:lang w:val="ru-RU" w:bidi="ru-RU"/>
        </w:rPr>
      </w:pPr>
      <w:r>
        <w:rPr>
          <w:rFonts w:ascii="Times New Roman CYR" w:hAnsi="Times New Roman CYR" w:eastAsia="Times New Roman CYR" w:cs="Times New Roman CYR"/>
          <w:lang w:val="ru-RU" w:bidi="ru-RU"/>
        </w:rPr>
        <w:separator/>
      </w:r>
      <w:r>
        <w:rPr>
          <w:rFonts w:ascii="Times New Roman CYR" w:hAnsi="Times New Roman CYR" w:eastAsia="Times New Roman CYR" w:cs="Times New Roman CYR"/>
          <w:lang w:val="ru-RU" w:bidi="ru-RU"/>
        </w:rPr>
      </w:r>
      <w:r>
        <w:rPr>
          <w:rFonts w:ascii="Times New Roman CYR" w:hAnsi="Times New Roman CYR" w:eastAsia="Times New Roman CYR" w:cs="Times New Roman CYR"/>
          <w:lang w:val="ru-RU" w:bidi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 CYR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  <w:rPr>
          <w:rFonts w:ascii="Times New Roman CYR" w:hAnsi="Times New Roman CYR" w:eastAsia="Times New Roman CYR" w:cs="Times New Roman CYR"/>
          <w:lang w:val="ru-RU" w:bidi="ru-RU"/>
        </w:rPr>
      </w:pPr>
      <w:r>
        <w:rPr>
          <w:rFonts w:ascii="Times New Roman CYR" w:hAnsi="Times New Roman CYR" w:eastAsia="Times New Roman CYR" w:cs="Times New Roman CYR"/>
          <w:lang w:val="ru-RU" w:bidi="ru-RU"/>
        </w:rPr>
        <w:separator/>
      </w:r>
      <w:r>
        <w:rPr>
          <w:rFonts w:ascii="Times New Roman CYR" w:hAnsi="Times New Roman CYR" w:eastAsia="Times New Roman CYR" w:cs="Times New Roman CYR"/>
          <w:lang w:val="ru-RU" w:bidi="ru-RU"/>
        </w:rPr>
      </w:r>
      <w:r>
        <w:rPr>
          <w:rFonts w:ascii="Times New Roman CYR" w:hAnsi="Times New Roman CYR" w:eastAsia="Times New Roman CYR" w:cs="Times New Roman CYR"/>
          <w:lang w:val="ru-RU" w:bidi="ru-RU"/>
        </w:rPr>
      </w:r>
    </w:p>
  </w:footnote>
  <w:footnote w:type="continuationSeparator" w:id="0">
    <w:p>
      <w:pPr>
        <w:jc w:val="left"/>
        <w:rPr>
          <w:rFonts w:ascii="Times New Roman CYR" w:hAnsi="Times New Roman CYR" w:eastAsia="Times New Roman CYR" w:cs="Times New Roman CYR"/>
          <w:lang w:val="ru-RU" w:bidi="ru-RU"/>
        </w:rPr>
      </w:pPr>
      <w:r>
        <w:rPr>
          <w:rFonts w:ascii="Times New Roman CYR" w:hAnsi="Times New Roman CYR" w:eastAsia="Times New Roman CYR" w:cs="Times New Roman CYR"/>
          <w:lang w:val="ru-RU" w:bidi="ru-RU"/>
        </w:rPr>
        <w:continuationSeparator/>
      </w:r>
      <w:r>
        <w:rPr>
          <w:rFonts w:ascii="Times New Roman CYR" w:hAnsi="Times New Roman CYR" w:eastAsia="Times New Roman CYR" w:cs="Times New Roman CYR"/>
          <w:lang w:val="ru-RU" w:bidi="ru-RU"/>
        </w:rPr>
      </w:r>
      <w:r>
        <w:rPr>
          <w:rFonts w:ascii="Times New Roman CYR" w:hAnsi="Times New Roman CYR" w:eastAsia="Times New Roman CYR" w:cs="Times New Roman CYR"/>
          <w:lang w:val="ru-RU" w:bidi="ru-RU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 CYR" w:hAnsi="Times New Roman CYR" w:eastAsia="Times New Roman CYR" w:cs="Times New Roman CYR"/>
        <w:sz w:val="24"/>
        <w:szCs w:val="24"/>
        <w:lang w:val="ru-RU" w:eastAsia="zh-CN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uiPriority w:val="39"/>
    <w:unhideWhenUsed/>
    <w:pPr>
      <w:ind w:left="0" w:right="0" w:firstLine="0"/>
      <w:spacing w:after="57"/>
    </w:pPr>
  </w:style>
  <w:style w:type="paragraph" w:styleId="826">
    <w:name w:val="toc 2"/>
    <w:uiPriority w:val="39"/>
    <w:unhideWhenUsed/>
    <w:pPr>
      <w:ind w:left="283" w:right="0" w:firstLine="0"/>
      <w:spacing w:after="57"/>
    </w:pPr>
  </w:style>
  <w:style w:type="paragraph" w:styleId="827">
    <w:name w:val="toc 3"/>
    <w:uiPriority w:val="39"/>
    <w:unhideWhenUsed/>
    <w:pPr>
      <w:ind w:left="567" w:right="0" w:firstLine="0"/>
      <w:spacing w:after="57"/>
    </w:pPr>
  </w:style>
  <w:style w:type="paragraph" w:styleId="828">
    <w:name w:val="toc 4"/>
    <w:uiPriority w:val="39"/>
    <w:unhideWhenUsed/>
    <w:pPr>
      <w:ind w:left="850" w:right="0" w:firstLine="0"/>
      <w:spacing w:after="57"/>
    </w:pPr>
  </w:style>
  <w:style w:type="paragraph" w:styleId="829">
    <w:name w:val="toc 5"/>
    <w:uiPriority w:val="39"/>
    <w:unhideWhenUsed/>
    <w:pPr>
      <w:ind w:left="1134" w:right="0" w:firstLine="0"/>
      <w:spacing w:after="57"/>
    </w:pPr>
  </w:style>
  <w:style w:type="paragraph" w:styleId="830">
    <w:name w:val="toc 6"/>
    <w:uiPriority w:val="39"/>
    <w:unhideWhenUsed/>
    <w:pPr>
      <w:ind w:left="1417" w:right="0" w:firstLine="0"/>
      <w:spacing w:after="57"/>
    </w:pPr>
  </w:style>
  <w:style w:type="paragraph" w:styleId="831">
    <w:name w:val="toc 7"/>
    <w:uiPriority w:val="39"/>
    <w:unhideWhenUsed/>
    <w:pPr>
      <w:ind w:left="1701" w:right="0" w:firstLine="0"/>
      <w:spacing w:after="57"/>
    </w:pPr>
  </w:style>
  <w:style w:type="paragraph" w:styleId="832">
    <w:name w:val="toc 8"/>
    <w:uiPriority w:val="39"/>
    <w:unhideWhenUsed/>
    <w:pPr>
      <w:ind w:left="1984" w:right="0" w:firstLine="0"/>
      <w:spacing w:after="57"/>
    </w:pPr>
  </w:style>
  <w:style w:type="paragraph" w:styleId="833">
    <w:name w:val="toc 9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uiPriority w:val="99"/>
    <w:unhideWhenUsed/>
    <w:pPr>
      <w:spacing w:after="0" w:afterAutospacing="0"/>
    </w:pPr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toporkova</cp:lastModifiedBy>
  <cp:revision>2</cp:revision>
  <dcterms:modified xsi:type="dcterms:W3CDTF">2026-04-10T10:36:13Z</dcterms:modified>
</cp:coreProperties>
</file>